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февраля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Хужаниезова</w:t>
      </w:r>
      <w:r>
        <w:rPr>
          <w:rFonts w:ascii="Times New Roman" w:eastAsia="Times New Roman" w:hAnsi="Times New Roman" w:cs="Times New Roman"/>
          <w:b/>
          <w:bCs/>
        </w:rPr>
        <w:t xml:space="preserve"> Максима </w:t>
      </w:r>
      <w:r>
        <w:rPr>
          <w:rFonts w:ascii="Times New Roman" w:eastAsia="Times New Roman" w:hAnsi="Times New Roman" w:cs="Times New Roman"/>
          <w:b/>
          <w:bCs/>
        </w:rPr>
        <w:t>Кенжаевича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ранее привлекавшийся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0898995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Хужаниезов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М.К.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 и была сложная финансовая ситуация.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по начислению из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уведомлением,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согласно котор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операций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Хужаниезова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М.К.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Хужаниезова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Максима </w:t>
      </w:r>
      <w:r>
        <w:rPr>
          <w:rFonts w:ascii="Times New Roman CYR" w:eastAsia="Times New Roman CYR" w:hAnsi="Times New Roman CYR" w:cs="Times New Roman CYR"/>
          <w:b/>
          <w:bCs/>
        </w:rPr>
        <w:t>Кенжаевича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3000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0412365400285000802520102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